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5CF" w:rsidRPr="007A05CF" w:rsidRDefault="00397B79" w:rsidP="007A05CF">
      <w:pPr>
        <w:autoSpaceDE w:val="0"/>
        <w:autoSpaceDN w:val="0"/>
        <w:spacing w:before="120" w:after="0" w:line="240" w:lineRule="auto"/>
        <w:ind w:right="115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DC2DB1">
        <w:rPr>
          <w:noProof/>
        </w:rPr>
        <w:drawing>
          <wp:inline distT="0" distB="0" distL="0" distR="0" wp14:anchorId="076B9369" wp14:editId="4502D2F3">
            <wp:extent cx="5915025" cy="781050"/>
            <wp:effectExtent l="0" t="0" r="9525" b="0"/>
            <wp:docPr id="1" name="image1.png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age1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lk166146186"/>
    </w:p>
    <w:p w:rsidR="002B2A2A" w:rsidRPr="007A05CF" w:rsidRDefault="00471FEE" w:rsidP="00471FEE">
      <w:pPr>
        <w:spacing w:line="360" w:lineRule="auto"/>
        <w:jc w:val="right"/>
        <w:rPr>
          <w:rFonts w:ascii="Trebuchet MS" w:hAnsi="Trebuchet MS"/>
          <w:b/>
          <w:sz w:val="24"/>
          <w:szCs w:val="24"/>
          <w:lang w:val="ro-RO"/>
        </w:rPr>
      </w:pPr>
      <w:r>
        <w:rPr>
          <w:rFonts w:ascii="Trebuchet MS" w:hAnsi="Trebuchet MS"/>
          <w:b/>
          <w:sz w:val="24"/>
          <w:szCs w:val="24"/>
          <w:lang w:val="ro-RO"/>
        </w:rPr>
        <w:t>22</w:t>
      </w:r>
      <w:r w:rsidR="007A05CF">
        <w:rPr>
          <w:rFonts w:ascii="Trebuchet MS" w:hAnsi="Trebuchet MS"/>
          <w:b/>
          <w:sz w:val="24"/>
          <w:szCs w:val="24"/>
          <w:lang w:val="ro-RO"/>
        </w:rPr>
        <w:t xml:space="preserve"> mai </w:t>
      </w:r>
      <w:r w:rsidR="007A05CF" w:rsidRPr="00475BF8">
        <w:rPr>
          <w:rFonts w:ascii="Trebuchet MS" w:hAnsi="Trebuchet MS"/>
          <w:b/>
          <w:sz w:val="24"/>
          <w:szCs w:val="24"/>
          <w:lang w:val="ro-RO"/>
        </w:rPr>
        <w:t>202</w:t>
      </w:r>
      <w:r w:rsidR="007A05CF">
        <w:rPr>
          <w:rFonts w:ascii="Trebuchet MS" w:hAnsi="Trebuchet MS"/>
          <w:b/>
          <w:sz w:val="24"/>
          <w:szCs w:val="24"/>
          <w:lang w:val="ro-RO"/>
        </w:rPr>
        <w:t>6</w:t>
      </w:r>
    </w:p>
    <w:p w:rsidR="009B7998" w:rsidRPr="00DC2DB1" w:rsidRDefault="009B7998" w:rsidP="00BF6B9D">
      <w:pPr>
        <w:pStyle w:val="Heading3"/>
        <w:spacing w:before="480" w:beforeAutospacing="0" w:after="0" w:afterAutospacing="0" w:line="276" w:lineRule="auto"/>
        <w:jc w:val="center"/>
        <w:textAlignment w:val="baseline"/>
        <w:rPr>
          <w:rFonts w:ascii="Trebuchet MS" w:hAnsi="Trebuchet MS"/>
          <w:sz w:val="24"/>
          <w:szCs w:val="24"/>
          <w:lang w:val="ro-RO"/>
        </w:rPr>
      </w:pPr>
      <w:r w:rsidRPr="00DC2DB1">
        <w:rPr>
          <w:rFonts w:ascii="Trebuchet MS" w:hAnsi="Trebuchet MS"/>
          <w:sz w:val="24"/>
          <w:szCs w:val="24"/>
          <w:lang w:val="ro-RO"/>
        </w:rPr>
        <w:t>COMUNICAT DE PRESĂ</w:t>
      </w:r>
    </w:p>
    <w:p w:rsidR="00AA32E4" w:rsidRDefault="00AA32E4" w:rsidP="00471FEE">
      <w:pPr>
        <w:spacing w:after="0"/>
        <w:ind w:left="274"/>
        <w:jc w:val="center"/>
        <w:rPr>
          <w:rFonts w:ascii="Trebuchet MS" w:hAnsi="Trebuchet MS"/>
          <w:b/>
          <w:bCs/>
          <w:i/>
          <w:iCs/>
          <w:sz w:val="24"/>
          <w:szCs w:val="24"/>
          <w:lang w:val="ro-RO"/>
        </w:rPr>
      </w:pPr>
      <w:r w:rsidRPr="00DC2DB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APIA </w:t>
      </w:r>
      <w:r w:rsidR="009D0E4B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continuă </w:t>
      </w:r>
      <w:r w:rsidRPr="00DC2DB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eliber</w:t>
      </w:r>
      <w:r w:rsidR="009D0E4B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area</w:t>
      </w:r>
      <w:r w:rsidRPr="00DC2DB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adeverințe</w:t>
      </w:r>
      <w:r w:rsidR="009D0E4B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lor</w:t>
      </w:r>
      <w:r w:rsidRPr="00DC2DB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pentru beneficiarii </w:t>
      </w:r>
      <w:r w:rsidR="00531594" w:rsidRPr="00DC2DB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Campaniei 202</w:t>
      </w:r>
      <w:r w:rsidR="00E4618E" w:rsidRPr="00DC2DB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6</w:t>
      </w:r>
    </w:p>
    <w:p w:rsidR="007A05CF" w:rsidRPr="00DC2DB1" w:rsidRDefault="007A05CF" w:rsidP="007A05CF">
      <w:pPr>
        <w:spacing w:after="0"/>
        <w:ind w:left="274"/>
        <w:jc w:val="center"/>
        <w:rPr>
          <w:rFonts w:ascii="Trebuchet MS" w:hAnsi="Trebuchet MS"/>
          <w:b/>
          <w:bCs/>
          <w:i/>
          <w:iCs/>
          <w:sz w:val="24"/>
          <w:szCs w:val="24"/>
          <w:lang w:val="ro-RO"/>
        </w:rPr>
      </w:pPr>
    </w:p>
    <w:bookmarkEnd w:id="0"/>
    <w:p w:rsidR="009D0E4B" w:rsidRPr="009D0E4B" w:rsidRDefault="006A66CC" w:rsidP="00471FEE">
      <w:pPr>
        <w:spacing w:before="120" w:after="0"/>
        <w:jc w:val="both"/>
        <w:rPr>
          <w:rFonts w:ascii="Trebuchet MS" w:hAnsi="Trebuchet MS"/>
          <w:sz w:val="24"/>
          <w:szCs w:val="24"/>
          <w:lang w:val="ro-RO"/>
        </w:rPr>
      </w:pPr>
      <w:r w:rsidRPr="009D0E4B">
        <w:rPr>
          <w:rFonts w:ascii="Trebuchet MS" w:hAnsi="Trebuchet MS"/>
          <w:sz w:val="24"/>
          <w:szCs w:val="24"/>
          <w:lang w:val="ro-RO"/>
        </w:rPr>
        <w:t xml:space="preserve">Agenția de Plăți și Intervenție pentru Agricultură (APIA) </w:t>
      </w:r>
      <w:proofErr w:type="spellStart"/>
      <w:r w:rsidR="009D0E4B" w:rsidRPr="009D0E4B">
        <w:rPr>
          <w:rFonts w:ascii="Trebuchet MS" w:hAnsi="Trebuchet MS"/>
          <w:b/>
          <w:sz w:val="24"/>
          <w:szCs w:val="24"/>
        </w:rPr>
        <w:t>continuă</w:t>
      </w:r>
      <w:proofErr w:type="spellEnd"/>
      <w:r w:rsidR="009D0E4B" w:rsidRPr="009D0E4B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9D0E4B" w:rsidRPr="009D0E4B">
        <w:rPr>
          <w:rFonts w:ascii="Trebuchet MS" w:hAnsi="Trebuchet MS"/>
          <w:b/>
          <w:sz w:val="24"/>
          <w:szCs w:val="24"/>
        </w:rPr>
        <w:t>procesul</w:t>
      </w:r>
      <w:proofErr w:type="spellEnd"/>
      <w:r w:rsidR="009D0E4B" w:rsidRPr="009D0E4B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="009D0E4B" w:rsidRPr="009D0E4B">
        <w:rPr>
          <w:rFonts w:ascii="Trebuchet MS" w:hAnsi="Trebuchet MS"/>
          <w:b/>
          <w:sz w:val="24"/>
          <w:szCs w:val="24"/>
        </w:rPr>
        <w:t>eliberare</w:t>
      </w:r>
      <w:proofErr w:type="spellEnd"/>
      <w:r w:rsidR="009D0E4B" w:rsidRPr="009D0E4B">
        <w:rPr>
          <w:rFonts w:ascii="Trebuchet MS" w:hAnsi="Trebuchet MS"/>
          <w:b/>
          <w:sz w:val="24"/>
          <w:szCs w:val="24"/>
        </w:rPr>
        <w:t xml:space="preserve"> a </w:t>
      </w:r>
      <w:proofErr w:type="spellStart"/>
      <w:r w:rsidR="009D0E4B" w:rsidRPr="009D0E4B">
        <w:rPr>
          <w:rFonts w:ascii="Trebuchet MS" w:hAnsi="Trebuchet MS"/>
          <w:b/>
          <w:sz w:val="24"/>
          <w:szCs w:val="24"/>
        </w:rPr>
        <w:t>adeverințelor</w:t>
      </w:r>
      <w:proofErr w:type="spellEnd"/>
      <w:r w:rsidR="009D0E4B" w:rsidRPr="009D0E4B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9D0E4B" w:rsidRPr="009D0E4B">
        <w:rPr>
          <w:rFonts w:ascii="Trebuchet MS" w:hAnsi="Trebuchet MS"/>
          <w:b/>
          <w:sz w:val="24"/>
          <w:szCs w:val="24"/>
        </w:rPr>
        <w:t>pentru</w:t>
      </w:r>
      <w:proofErr w:type="spellEnd"/>
      <w:r w:rsidR="009D0E4B" w:rsidRPr="009D0E4B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9D0E4B" w:rsidRPr="009D0E4B">
        <w:rPr>
          <w:rFonts w:ascii="Trebuchet MS" w:hAnsi="Trebuchet MS"/>
          <w:b/>
          <w:sz w:val="24"/>
          <w:szCs w:val="24"/>
        </w:rPr>
        <w:t>fermierii</w:t>
      </w:r>
      <w:proofErr w:type="spellEnd"/>
      <w:r w:rsidR="009D0E4B" w:rsidRPr="009D0E4B">
        <w:rPr>
          <w:rFonts w:ascii="Trebuchet MS" w:hAnsi="Trebuchet MS"/>
          <w:b/>
          <w:sz w:val="24"/>
          <w:szCs w:val="24"/>
        </w:rPr>
        <w:t xml:space="preserve"> care au </w:t>
      </w:r>
      <w:proofErr w:type="spellStart"/>
      <w:r w:rsidR="009D0E4B" w:rsidRPr="009D0E4B">
        <w:rPr>
          <w:rFonts w:ascii="Trebuchet MS" w:hAnsi="Trebuchet MS"/>
          <w:b/>
          <w:sz w:val="24"/>
          <w:szCs w:val="24"/>
        </w:rPr>
        <w:t>depus</w:t>
      </w:r>
      <w:proofErr w:type="spellEnd"/>
      <w:r w:rsidR="009D0E4B" w:rsidRPr="009D0E4B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9D0E4B" w:rsidRPr="009D0E4B">
        <w:rPr>
          <w:rFonts w:ascii="Trebuchet MS" w:hAnsi="Trebuchet MS"/>
          <w:b/>
          <w:sz w:val="24"/>
          <w:szCs w:val="24"/>
        </w:rPr>
        <w:t>Cererea</w:t>
      </w:r>
      <w:proofErr w:type="spellEnd"/>
      <w:r w:rsidR="009D0E4B" w:rsidRPr="009D0E4B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="009D0E4B" w:rsidRPr="009D0E4B">
        <w:rPr>
          <w:rFonts w:ascii="Trebuchet MS" w:hAnsi="Trebuchet MS"/>
          <w:b/>
          <w:sz w:val="24"/>
          <w:szCs w:val="24"/>
        </w:rPr>
        <w:t>plată</w:t>
      </w:r>
      <w:proofErr w:type="spellEnd"/>
      <w:r w:rsidR="009D0E4B" w:rsidRPr="009D0E4B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9D0E4B" w:rsidRPr="009D0E4B">
        <w:rPr>
          <w:rFonts w:ascii="Trebuchet MS" w:hAnsi="Trebuchet MS"/>
          <w:b/>
          <w:sz w:val="24"/>
          <w:szCs w:val="24"/>
        </w:rPr>
        <w:t>în</w:t>
      </w:r>
      <w:proofErr w:type="spellEnd"/>
      <w:r w:rsidR="009D0E4B" w:rsidRPr="009D0E4B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9D0E4B" w:rsidRPr="009D0E4B">
        <w:rPr>
          <w:rFonts w:ascii="Trebuchet MS" w:hAnsi="Trebuchet MS"/>
          <w:b/>
          <w:sz w:val="24"/>
          <w:szCs w:val="24"/>
        </w:rPr>
        <w:t>cadrul</w:t>
      </w:r>
      <w:proofErr w:type="spellEnd"/>
      <w:r w:rsidR="009D0E4B" w:rsidRPr="009D0E4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D0E4B" w:rsidRPr="009D0E4B">
        <w:rPr>
          <w:rStyle w:val="Strong"/>
          <w:rFonts w:ascii="Trebuchet MS" w:hAnsi="Trebuchet MS"/>
          <w:sz w:val="24"/>
          <w:szCs w:val="24"/>
        </w:rPr>
        <w:t>Campaniei</w:t>
      </w:r>
      <w:proofErr w:type="spellEnd"/>
      <w:r w:rsidR="009D0E4B" w:rsidRPr="009D0E4B">
        <w:rPr>
          <w:rStyle w:val="Strong"/>
          <w:rFonts w:ascii="Trebuchet MS" w:hAnsi="Trebuchet MS"/>
          <w:sz w:val="24"/>
          <w:szCs w:val="24"/>
        </w:rPr>
        <w:t xml:space="preserve"> 2026</w:t>
      </w:r>
      <w:r w:rsidR="009D0E4B" w:rsidRPr="009D0E4B">
        <w:rPr>
          <w:rFonts w:ascii="Trebuchet MS" w:hAnsi="Trebuchet MS"/>
          <w:sz w:val="24"/>
          <w:szCs w:val="24"/>
        </w:rPr>
        <w:t>.</w:t>
      </w:r>
    </w:p>
    <w:p w:rsidR="009D0E4B" w:rsidRPr="009D0E4B" w:rsidRDefault="009D0E4B" w:rsidP="00471FEE">
      <w:pPr>
        <w:pStyle w:val="NormalWeb"/>
        <w:spacing w:before="120" w:beforeAutospacing="0" w:after="0" w:afterAutospacing="0" w:line="276" w:lineRule="auto"/>
        <w:jc w:val="both"/>
        <w:rPr>
          <w:rFonts w:ascii="Trebuchet MS" w:hAnsi="Trebuchet MS"/>
        </w:rPr>
      </w:pPr>
      <w:proofErr w:type="spellStart"/>
      <w:r w:rsidRPr="009D0E4B">
        <w:rPr>
          <w:rFonts w:ascii="Trebuchet MS" w:hAnsi="Trebuchet MS"/>
        </w:rPr>
        <w:t>Adeverințele</w:t>
      </w:r>
      <w:proofErr w:type="spellEnd"/>
      <w:r w:rsidRPr="009D0E4B">
        <w:rPr>
          <w:rFonts w:ascii="Trebuchet MS" w:hAnsi="Trebuchet MS"/>
        </w:rPr>
        <w:t xml:space="preserve"> sunt </w:t>
      </w:r>
      <w:proofErr w:type="spellStart"/>
      <w:r w:rsidRPr="009D0E4B">
        <w:rPr>
          <w:rFonts w:ascii="Trebuchet MS" w:hAnsi="Trebuchet MS"/>
        </w:rPr>
        <w:t>eliberate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pentru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mai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multe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intervenții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gestionate</w:t>
      </w:r>
      <w:proofErr w:type="spellEnd"/>
      <w:r w:rsidRPr="009D0E4B">
        <w:rPr>
          <w:rFonts w:ascii="Trebuchet MS" w:hAnsi="Trebuchet MS"/>
        </w:rPr>
        <w:t xml:space="preserve"> de APIA, </w:t>
      </w:r>
      <w:proofErr w:type="spellStart"/>
      <w:r w:rsidRPr="009D0E4B">
        <w:rPr>
          <w:rFonts w:ascii="Trebuchet MS" w:hAnsi="Trebuchet MS"/>
        </w:rPr>
        <w:t>inclusiv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pentru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schemele</w:t>
      </w:r>
      <w:proofErr w:type="spellEnd"/>
      <w:r w:rsidRPr="009D0E4B">
        <w:rPr>
          <w:rFonts w:ascii="Trebuchet MS" w:hAnsi="Trebuchet MS"/>
        </w:rPr>
        <w:t xml:space="preserve"> de </w:t>
      </w:r>
      <w:proofErr w:type="spellStart"/>
      <w:r w:rsidRPr="009D0E4B">
        <w:rPr>
          <w:rFonts w:ascii="Trebuchet MS" w:hAnsi="Trebuchet MS"/>
        </w:rPr>
        <w:t>sprijin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pentru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venit</w:t>
      </w:r>
      <w:proofErr w:type="spellEnd"/>
      <w:r w:rsidRPr="009D0E4B">
        <w:rPr>
          <w:rFonts w:ascii="Trebuchet MS" w:hAnsi="Trebuchet MS"/>
        </w:rPr>
        <w:t xml:space="preserve">, </w:t>
      </w:r>
      <w:proofErr w:type="spellStart"/>
      <w:r w:rsidRPr="009D0E4B">
        <w:rPr>
          <w:rFonts w:ascii="Trebuchet MS" w:hAnsi="Trebuchet MS"/>
        </w:rPr>
        <w:t>agro-mediu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și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climă</w:t>
      </w:r>
      <w:proofErr w:type="spellEnd"/>
      <w:r w:rsidRPr="009D0E4B">
        <w:rPr>
          <w:rFonts w:ascii="Trebuchet MS" w:hAnsi="Trebuchet MS"/>
        </w:rPr>
        <w:t xml:space="preserve">, </w:t>
      </w:r>
      <w:proofErr w:type="spellStart"/>
      <w:r w:rsidRPr="009D0E4B">
        <w:rPr>
          <w:rFonts w:ascii="Trebuchet MS" w:hAnsi="Trebuchet MS"/>
        </w:rPr>
        <w:t>agricultura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ecologică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și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zonele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afectate</w:t>
      </w:r>
      <w:proofErr w:type="spellEnd"/>
      <w:r w:rsidRPr="009D0E4B">
        <w:rPr>
          <w:rFonts w:ascii="Trebuchet MS" w:hAnsi="Trebuchet MS"/>
        </w:rPr>
        <w:t xml:space="preserve"> de </w:t>
      </w:r>
      <w:proofErr w:type="spellStart"/>
      <w:r w:rsidRPr="009D0E4B">
        <w:rPr>
          <w:rFonts w:ascii="Trebuchet MS" w:hAnsi="Trebuchet MS"/>
        </w:rPr>
        <w:t>constrângeri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naturale</w:t>
      </w:r>
      <w:proofErr w:type="spellEnd"/>
      <w:r w:rsidRPr="009D0E4B">
        <w:rPr>
          <w:rFonts w:ascii="Trebuchet MS" w:hAnsi="Trebuchet MS"/>
        </w:rPr>
        <w:t>.</w:t>
      </w:r>
    </w:p>
    <w:p w:rsidR="009D0E4B" w:rsidRPr="009D0E4B" w:rsidRDefault="009D0E4B" w:rsidP="00471FEE">
      <w:pPr>
        <w:pStyle w:val="NormalWeb"/>
        <w:spacing w:before="120" w:beforeAutospacing="0" w:after="0" w:afterAutospacing="0" w:line="276" w:lineRule="auto"/>
        <w:jc w:val="both"/>
        <w:rPr>
          <w:rFonts w:ascii="Trebuchet MS" w:hAnsi="Trebuchet MS"/>
        </w:rPr>
      </w:pPr>
      <w:r w:rsidRPr="009D0E4B">
        <w:rPr>
          <w:rFonts w:ascii="Trebuchet MS" w:hAnsi="Trebuchet MS"/>
        </w:rPr>
        <w:t xml:space="preserve">La </w:t>
      </w:r>
      <w:proofErr w:type="spellStart"/>
      <w:r w:rsidRPr="009D0E4B">
        <w:rPr>
          <w:rFonts w:ascii="Trebuchet MS" w:hAnsi="Trebuchet MS"/>
        </w:rPr>
        <w:t>solicitarea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fermierului</w:t>
      </w:r>
      <w:proofErr w:type="spellEnd"/>
      <w:r w:rsidRPr="009D0E4B">
        <w:rPr>
          <w:rFonts w:ascii="Trebuchet MS" w:hAnsi="Trebuchet MS"/>
        </w:rPr>
        <w:t xml:space="preserve">, APIA </w:t>
      </w:r>
      <w:proofErr w:type="spellStart"/>
      <w:r w:rsidRPr="009D0E4B">
        <w:rPr>
          <w:rFonts w:ascii="Trebuchet MS" w:hAnsi="Trebuchet MS"/>
        </w:rPr>
        <w:t>eliberează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adeverința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prin</w:t>
      </w:r>
      <w:proofErr w:type="spellEnd"/>
      <w:r w:rsidRPr="009D0E4B">
        <w:rPr>
          <w:rFonts w:ascii="Trebuchet MS" w:hAnsi="Trebuchet MS"/>
        </w:rPr>
        <w:t xml:space="preserve"> care se </w:t>
      </w:r>
      <w:proofErr w:type="spellStart"/>
      <w:r w:rsidRPr="009D0E4B">
        <w:rPr>
          <w:rFonts w:ascii="Trebuchet MS" w:hAnsi="Trebuchet MS"/>
        </w:rPr>
        <w:t>confirmă</w:t>
      </w:r>
      <w:proofErr w:type="spellEnd"/>
      <w:r w:rsidRPr="009D0E4B">
        <w:rPr>
          <w:rFonts w:ascii="Trebuchet MS" w:hAnsi="Trebuchet MS"/>
        </w:rPr>
        <w:t xml:space="preserve">, la data </w:t>
      </w:r>
      <w:proofErr w:type="spellStart"/>
      <w:r w:rsidRPr="009D0E4B">
        <w:rPr>
          <w:rFonts w:ascii="Trebuchet MS" w:hAnsi="Trebuchet MS"/>
        </w:rPr>
        <w:t>emiterii</w:t>
      </w:r>
      <w:proofErr w:type="spellEnd"/>
      <w:r w:rsidRPr="009D0E4B">
        <w:rPr>
          <w:rFonts w:ascii="Trebuchet MS" w:hAnsi="Trebuchet MS"/>
        </w:rPr>
        <w:t xml:space="preserve">, </w:t>
      </w:r>
      <w:proofErr w:type="spellStart"/>
      <w:r w:rsidRPr="009D0E4B">
        <w:rPr>
          <w:rFonts w:ascii="Trebuchet MS" w:hAnsi="Trebuchet MS"/>
        </w:rPr>
        <w:t>suprafața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determinată</w:t>
      </w:r>
      <w:proofErr w:type="spellEnd"/>
      <w:r w:rsidRPr="009D0E4B">
        <w:rPr>
          <w:rFonts w:ascii="Trebuchet MS" w:hAnsi="Trebuchet MS"/>
        </w:rPr>
        <w:t xml:space="preserve"> la </w:t>
      </w:r>
      <w:proofErr w:type="spellStart"/>
      <w:r w:rsidRPr="009D0E4B">
        <w:rPr>
          <w:rFonts w:ascii="Trebuchet MS" w:hAnsi="Trebuchet MS"/>
        </w:rPr>
        <w:t>plată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pentru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intervențiile</w:t>
      </w:r>
      <w:proofErr w:type="spellEnd"/>
      <w:r w:rsidRPr="009D0E4B">
        <w:rPr>
          <w:rFonts w:ascii="Trebuchet MS" w:hAnsi="Trebuchet MS"/>
        </w:rPr>
        <w:t xml:space="preserve"> care fac </w:t>
      </w:r>
      <w:proofErr w:type="spellStart"/>
      <w:r w:rsidRPr="009D0E4B">
        <w:rPr>
          <w:rFonts w:ascii="Trebuchet MS" w:hAnsi="Trebuchet MS"/>
        </w:rPr>
        <w:t>obiectul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convențiilor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încheiate</w:t>
      </w:r>
      <w:proofErr w:type="spellEnd"/>
      <w:r w:rsidRPr="009D0E4B">
        <w:rPr>
          <w:rFonts w:ascii="Trebuchet MS" w:hAnsi="Trebuchet MS"/>
        </w:rPr>
        <w:t xml:space="preserve"> cu </w:t>
      </w:r>
      <w:proofErr w:type="spellStart"/>
      <w:r w:rsidRPr="009D0E4B">
        <w:rPr>
          <w:rFonts w:ascii="Trebuchet MS" w:hAnsi="Trebuchet MS"/>
        </w:rPr>
        <w:t>instituțiile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bancare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și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nebancare</w:t>
      </w:r>
      <w:proofErr w:type="spellEnd"/>
      <w:r w:rsidRPr="009D0E4B">
        <w:rPr>
          <w:rFonts w:ascii="Trebuchet MS" w:hAnsi="Trebuchet MS"/>
        </w:rPr>
        <w:t xml:space="preserve">, precum </w:t>
      </w:r>
      <w:proofErr w:type="spellStart"/>
      <w:r w:rsidRPr="009D0E4B">
        <w:rPr>
          <w:rFonts w:ascii="Trebuchet MS" w:hAnsi="Trebuchet MS"/>
        </w:rPr>
        <w:t>și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îndeplinirea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condițiilor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generale</w:t>
      </w:r>
      <w:proofErr w:type="spellEnd"/>
      <w:r w:rsidRPr="009D0E4B">
        <w:rPr>
          <w:rFonts w:ascii="Trebuchet MS" w:hAnsi="Trebuchet MS"/>
        </w:rPr>
        <w:t xml:space="preserve"> de </w:t>
      </w:r>
      <w:proofErr w:type="spellStart"/>
      <w:r w:rsidRPr="009D0E4B">
        <w:rPr>
          <w:rFonts w:ascii="Trebuchet MS" w:hAnsi="Trebuchet MS"/>
        </w:rPr>
        <w:t>eligibilitate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prevăzute</w:t>
      </w:r>
      <w:proofErr w:type="spellEnd"/>
      <w:r w:rsidRPr="009D0E4B">
        <w:rPr>
          <w:rFonts w:ascii="Trebuchet MS" w:hAnsi="Trebuchet MS"/>
        </w:rPr>
        <w:t xml:space="preserve"> de </w:t>
      </w:r>
      <w:proofErr w:type="spellStart"/>
      <w:r w:rsidRPr="009D0E4B">
        <w:rPr>
          <w:rFonts w:ascii="Trebuchet MS" w:hAnsi="Trebuchet MS"/>
        </w:rPr>
        <w:t>legislația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în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vigoare</w:t>
      </w:r>
      <w:proofErr w:type="spellEnd"/>
      <w:r w:rsidRPr="009D0E4B">
        <w:rPr>
          <w:rFonts w:ascii="Trebuchet MS" w:hAnsi="Trebuchet MS"/>
        </w:rPr>
        <w:t>.</w:t>
      </w:r>
    </w:p>
    <w:p w:rsidR="009D0E4B" w:rsidRPr="009D0E4B" w:rsidRDefault="009D0E4B" w:rsidP="00471FEE">
      <w:pPr>
        <w:pStyle w:val="NormalWeb"/>
        <w:spacing w:before="120" w:beforeAutospacing="0" w:after="0" w:afterAutospacing="0" w:line="276" w:lineRule="auto"/>
        <w:jc w:val="both"/>
        <w:rPr>
          <w:rFonts w:ascii="Trebuchet MS" w:hAnsi="Trebuchet MS"/>
        </w:rPr>
      </w:pPr>
      <w:proofErr w:type="spellStart"/>
      <w:r w:rsidRPr="009D0E4B">
        <w:rPr>
          <w:rFonts w:ascii="Trebuchet MS" w:hAnsi="Trebuchet MS"/>
        </w:rPr>
        <w:t>Totodată</w:t>
      </w:r>
      <w:proofErr w:type="spellEnd"/>
      <w:r w:rsidRPr="009D0E4B">
        <w:rPr>
          <w:rFonts w:ascii="Trebuchet MS" w:hAnsi="Trebuchet MS"/>
        </w:rPr>
        <w:t xml:space="preserve">, </w:t>
      </w:r>
      <w:proofErr w:type="spellStart"/>
      <w:r w:rsidRPr="009D0E4B">
        <w:rPr>
          <w:rFonts w:ascii="Trebuchet MS" w:hAnsi="Trebuchet MS"/>
        </w:rPr>
        <w:t>adeverințele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certifică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faptul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că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beneficiarii</w:t>
      </w:r>
      <w:proofErr w:type="spellEnd"/>
      <w:r w:rsidRPr="009D0E4B">
        <w:rPr>
          <w:rFonts w:ascii="Trebuchet MS" w:hAnsi="Trebuchet MS"/>
        </w:rPr>
        <w:t xml:space="preserve"> nu fac </w:t>
      </w:r>
      <w:proofErr w:type="spellStart"/>
      <w:r w:rsidRPr="009D0E4B">
        <w:rPr>
          <w:rFonts w:ascii="Trebuchet MS" w:hAnsi="Trebuchet MS"/>
        </w:rPr>
        <w:t>obiectul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excluderilor</w:t>
      </w:r>
      <w:proofErr w:type="spellEnd"/>
      <w:r w:rsidRPr="009D0E4B">
        <w:rPr>
          <w:rFonts w:ascii="Trebuchet MS" w:hAnsi="Trebuchet MS"/>
        </w:rPr>
        <w:t xml:space="preserve"> de la </w:t>
      </w:r>
      <w:proofErr w:type="spellStart"/>
      <w:r w:rsidRPr="009D0E4B">
        <w:rPr>
          <w:rFonts w:ascii="Trebuchet MS" w:hAnsi="Trebuchet MS"/>
        </w:rPr>
        <w:t>plată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și</w:t>
      </w:r>
      <w:proofErr w:type="spellEnd"/>
      <w:r w:rsidRPr="009D0E4B">
        <w:rPr>
          <w:rFonts w:ascii="Trebuchet MS" w:hAnsi="Trebuchet MS"/>
        </w:rPr>
        <w:t xml:space="preserve"> pot fi </w:t>
      </w:r>
      <w:proofErr w:type="spellStart"/>
      <w:r w:rsidRPr="009D0E4B">
        <w:rPr>
          <w:rFonts w:ascii="Trebuchet MS" w:hAnsi="Trebuchet MS"/>
        </w:rPr>
        <w:t>utilizate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pentru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accesarea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creditelor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necesare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finanțării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activităților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curente</w:t>
      </w:r>
      <w:proofErr w:type="spellEnd"/>
      <w:r w:rsidRPr="009D0E4B">
        <w:rPr>
          <w:rFonts w:ascii="Trebuchet MS" w:hAnsi="Trebuchet MS"/>
        </w:rPr>
        <w:t xml:space="preserve"> din </w:t>
      </w:r>
      <w:proofErr w:type="spellStart"/>
      <w:r w:rsidRPr="009D0E4B">
        <w:rPr>
          <w:rFonts w:ascii="Trebuchet MS" w:hAnsi="Trebuchet MS"/>
        </w:rPr>
        <w:t>agricultură</w:t>
      </w:r>
      <w:proofErr w:type="spellEnd"/>
      <w:r w:rsidRPr="009D0E4B">
        <w:rPr>
          <w:rFonts w:ascii="Trebuchet MS" w:hAnsi="Trebuchet MS"/>
        </w:rPr>
        <w:t>.</w:t>
      </w:r>
    </w:p>
    <w:p w:rsidR="009D0E4B" w:rsidRPr="009D0E4B" w:rsidRDefault="009D0E4B" w:rsidP="00471FEE">
      <w:pPr>
        <w:pStyle w:val="NormalWeb"/>
        <w:spacing w:before="120" w:beforeAutospacing="0" w:after="0" w:afterAutospacing="0" w:line="276" w:lineRule="auto"/>
        <w:jc w:val="both"/>
        <w:rPr>
          <w:rFonts w:ascii="Trebuchet MS" w:hAnsi="Trebuchet MS"/>
        </w:rPr>
      </w:pPr>
      <w:proofErr w:type="spellStart"/>
      <w:r w:rsidRPr="009D0E4B">
        <w:rPr>
          <w:rFonts w:ascii="Trebuchet MS" w:hAnsi="Trebuchet MS"/>
        </w:rPr>
        <w:t>Până</w:t>
      </w:r>
      <w:proofErr w:type="spellEnd"/>
      <w:r w:rsidRPr="009D0E4B">
        <w:rPr>
          <w:rFonts w:ascii="Trebuchet MS" w:hAnsi="Trebuchet MS"/>
        </w:rPr>
        <w:t xml:space="preserve"> la </w:t>
      </w:r>
      <w:proofErr w:type="spellStart"/>
      <w:r w:rsidRPr="009D0E4B">
        <w:rPr>
          <w:rFonts w:ascii="Trebuchet MS" w:hAnsi="Trebuchet MS"/>
        </w:rPr>
        <w:t>această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dată</w:t>
      </w:r>
      <w:proofErr w:type="spellEnd"/>
      <w:r w:rsidRPr="009D0E4B">
        <w:rPr>
          <w:rFonts w:ascii="Trebuchet MS" w:hAnsi="Trebuchet MS"/>
        </w:rPr>
        <w:t xml:space="preserve"> au </w:t>
      </w:r>
      <w:proofErr w:type="spellStart"/>
      <w:r w:rsidRPr="009D0E4B">
        <w:rPr>
          <w:rFonts w:ascii="Trebuchet MS" w:hAnsi="Trebuchet MS"/>
        </w:rPr>
        <w:t>fost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eliberate</w:t>
      </w:r>
      <w:proofErr w:type="spellEnd"/>
      <w:r w:rsidRPr="009D0E4B">
        <w:rPr>
          <w:rFonts w:ascii="Trebuchet MS" w:hAnsi="Trebuchet MS"/>
        </w:rPr>
        <w:t>:</w:t>
      </w:r>
    </w:p>
    <w:p w:rsidR="009D0E4B" w:rsidRPr="009D0E4B" w:rsidRDefault="009D0E4B" w:rsidP="00471FEE">
      <w:pPr>
        <w:pStyle w:val="NormalWeb"/>
        <w:spacing w:before="120" w:beforeAutospacing="0" w:after="0" w:afterAutospacing="0" w:line="276" w:lineRule="auto"/>
        <w:ind w:left="288"/>
        <w:rPr>
          <w:rFonts w:ascii="Trebuchet MS" w:hAnsi="Trebuchet MS"/>
        </w:rPr>
      </w:pPr>
      <w:r w:rsidRPr="009D0E4B">
        <w:rPr>
          <w:rFonts w:ascii="Trebuchet MS" w:hAnsi="Trebuchet MS"/>
        </w:rPr>
        <w:t xml:space="preserve">• </w:t>
      </w:r>
      <w:r>
        <w:rPr>
          <w:rFonts w:ascii="Trebuchet MS" w:hAnsi="Trebuchet MS"/>
        </w:rPr>
        <w:t xml:space="preserve">  </w:t>
      </w:r>
      <w:r w:rsidRPr="009D0E4B">
        <w:rPr>
          <w:rStyle w:val="Strong"/>
          <w:rFonts w:ascii="Trebuchet MS" w:hAnsi="Trebuchet MS"/>
        </w:rPr>
        <w:t xml:space="preserve">735 de </w:t>
      </w:r>
      <w:proofErr w:type="spellStart"/>
      <w:r w:rsidRPr="009D0E4B">
        <w:rPr>
          <w:rStyle w:val="Strong"/>
          <w:rFonts w:ascii="Trebuchet MS" w:hAnsi="Trebuchet MS"/>
        </w:rPr>
        <w:t>adeverințe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pentru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intervențiile</w:t>
      </w:r>
      <w:proofErr w:type="spellEnd"/>
      <w:r w:rsidRPr="009D0E4B">
        <w:rPr>
          <w:rFonts w:ascii="Trebuchet MS" w:hAnsi="Trebuchet MS"/>
        </w:rPr>
        <w:t xml:space="preserve"> </w:t>
      </w:r>
      <w:r w:rsidRPr="009D0E4B">
        <w:rPr>
          <w:rStyle w:val="Strong"/>
          <w:rFonts w:ascii="Trebuchet MS" w:hAnsi="Trebuchet MS"/>
        </w:rPr>
        <w:t xml:space="preserve">BISS </w:t>
      </w:r>
      <w:proofErr w:type="spellStart"/>
      <w:r w:rsidRPr="009D0E4B">
        <w:rPr>
          <w:rStyle w:val="Strong"/>
          <w:rFonts w:ascii="Trebuchet MS" w:hAnsi="Trebuchet MS"/>
        </w:rPr>
        <w:t>și</w:t>
      </w:r>
      <w:proofErr w:type="spellEnd"/>
      <w:r w:rsidRPr="009D0E4B">
        <w:rPr>
          <w:rStyle w:val="Strong"/>
          <w:rFonts w:ascii="Trebuchet MS" w:hAnsi="Trebuchet MS"/>
        </w:rPr>
        <w:t xml:space="preserve"> CRISS</w:t>
      </w:r>
      <w:r w:rsidRPr="009D0E4B">
        <w:rPr>
          <w:rFonts w:ascii="Trebuchet MS" w:hAnsi="Trebuchet MS"/>
        </w:rPr>
        <w:t>;</w:t>
      </w:r>
      <w:r w:rsidRPr="009D0E4B">
        <w:rPr>
          <w:rFonts w:ascii="Trebuchet MS" w:hAnsi="Trebuchet MS"/>
        </w:rPr>
        <w:br/>
        <w:t xml:space="preserve">•   </w:t>
      </w:r>
      <w:r w:rsidRPr="009D0E4B">
        <w:rPr>
          <w:rStyle w:val="Strong"/>
          <w:rFonts w:ascii="Trebuchet MS" w:hAnsi="Trebuchet MS"/>
        </w:rPr>
        <w:t xml:space="preserve">542 de </w:t>
      </w:r>
      <w:proofErr w:type="spellStart"/>
      <w:r w:rsidRPr="009D0E4B">
        <w:rPr>
          <w:rStyle w:val="Strong"/>
          <w:rFonts w:ascii="Trebuchet MS" w:hAnsi="Trebuchet MS"/>
        </w:rPr>
        <w:t>adeverințe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pentru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intervențiile</w:t>
      </w:r>
      <w:proofErr w:type="spellEnd"/>
      <w:r w:rsidRPr="009D0E4B">
        <w:rPr>
          <w:rFonts w:ascii="Trebuchet MS" w:hAnsi="Trebuchet MS"/>
        </w:rPr>
        <w:t xml:space="preserve"> de </w:t>
      </w:r>
      <w:proofErr w:type="spellStart"/>
      <w:r w:rsidRPr="009D0E4B">
        <w:rPr>
          <w:rStyle w:val="Strong"/>
          <w:rFonts w:ascii="Trebuchet MS" w:hAnsi="Trebuchet MS"/>
        </w:rPr>
        <w:t>mediu</w:t>
      </w:r>
      <w:proofErr w:type="spellEnd"/>
      <w:r w:rsidRPr="009D0E4B">
        <w:rPr>
          <w:rStyle w:val="Strong"/>
          <w:rFonts w:ascii="Trebuchet MS" w:hAnsi="Trebuchet MS"/>
        </w:rPr>
        <w:t xml:space="preserve"> </w:t>
      </w:r>
      <w:proofErr w:type="spellStart"/>
      <w:r w:rsidRPr="009D0E4B">
        <w:rPr>
          <w:rStyle w:val="Strong"/>
          <w:rFonts w:ascii="Trebuchet MS" w:hAnsi="Trebuchet MS"/>
        </w:rPr>
        <w:t>și</w:t>
      </w:r>
      <w:proofErr w:type="spellEnd"/>
      <w:r w:rsidRPr="009D0E4B">
        <w:rPr>
          <w:rStyle w:val="Strong"/>
          <w:rFonts w:ascii="Trebuchet MS" w:hAnsi="Trebuchet MS"/>
        </w:rPr>
        <w:t xml:space="preserve"> </w:t>
      </w:r>
      <w:proofErr w:type="spellStart"/>
      <w:r w:rsidRPr="009D0E4B">
        <w:rPr>
          <w:rStyle w:val="Strong"/>
          <w:rFonts w:ascii="Trebuchet MS" w:hAnsi="Trebuchet MS"/>
        </w:rPr>
        <w:t>climă</w:t>
      </w:r>
      <w:proofErr w:type="spellEnd"/>
      <w:r w:rsidRPr="009D0E4B">
        <w:rPr>
          <w:rFonts w:ascii="Trebuchet MS" w:hAnsi="Trebuchet MS"/>
        </w:rPr>
        <w:t>.</w:t>
      </w:r>
    </w:p>
    <w:p w:rsidR="009D0E4B" w:rsidRPr="009D0E4B" w:rsidRDefault="009D0E4B" w:rsidP="00471FEE">
      <w:pPr>
        <w:pStyle w:val="NormalWeb"/>
        <w:spacing w:before="120" w:beforeAutospacing="0" w:after="0" w:afterAutospacing="0" w:line="276" w:lineRule="auto"/>
        <w:jc w:val="both"/>
        <w:rPr>
          <w:rFonts w:ascii="Trebuchet MS" w:hAnsi="Trebuchet MS"/>
        </w:rPr>
      </w:pPr>
      <w:proofErr w:type="spellStart"/>
      <w:r w:rsidRPr="009D0E4B">
        <w:rPr>
          <w:rFonts w:ascii="Trebuchet MS" w:hAnsi="Trebuchet MS"/>
        </w:rPr>
        <w:t>Valoarea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creditelor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acordate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poate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ajunge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până</w:t>
      </w:r>
      <w:proofErr w:type="spellEnd"/>
      <w:r w:rsidRPr="009D0E4B">
        <w:rPr>
          <w:rFonts w:ascii="Trebuchet MS" w:hAnsi="Trebuchet MS"/>
        </w:rPr>
        <w:t xml:space="preserve"> la </w:t>
      </w:r>
      <w:r w:rsidRPr="009D0E4B">
        <w:rPr>
          <w:rStyle w:val="Strong"/>
          <w:rFonts w:ascii="Trebuchet MS" w:hAnsi="Trebuchet MS"/>
        </w:rPr>
        <w:t xml:space="preserve">90% din </w:t>
      </w:r>
      <w:proofErr w:type="spellStart"/>
      <w:r w:rsidRPr="009D0E4B">
        <w:rPr>
          <w:rStyle w:val="Strong"/>
          <w:rFonts w:ascii="Trebuchet MS" w:hAnsi="Trebuchet MS"/>
        </w:rPr>
        <w:t>suma</w:t>
      </w:r>
      <w:proofErr w:type="spellEnd"/>
      <w:r w:rsidRPr="009D0E4B">
        <w:rPr>
          <w:rStyle w:val="Strong"/>
          <w:rFonts w:ascii="Trebuchet MS" w:hAnsi="Trebuchet MS"/>
        </w:rPr>
        <w:t xml:space="preserve"> </w:t>
      </w:r>
      <w:proofErr w:type="spellStart"/>
      <w:r w:rsidRPr="009D0E4B">
        <w:rPr>
          <w:rStyle w:val="Strong"/>
          <w:rFonts w:ascii="Trebuchet MS" w:hAnsi="Trebuchet MS"/>
        </w:rPr>
        <w:t>calculată</w:t>
      </w:r>
      <w:proofErr w:type="spellEnd"/>
      <w:r w:rsidRPr="009D0E4B">
        <w:rPr>
          <w:rStyle w:val="Strong"/>
          <w:rFonts w:ascii="Trebuchet MS" w:hAnsi="Trebuchet MS"/>
        </w:rPr>
        <w:t xml:space="preserve"> conform </w:t>
      </w:r>
      <w:proofErr w:type="spellStart"/>
      <w:r w:rsidRPr="009D0E4B">
        <w:rPr>
          <w:rStyle w:val="Strong"/>
          <w:rFonts w:ascii="Trebuchet MS" w:hAnsi="Trebuchet MS"/>
        </w:rPr>
        <w:t>adeverinței</w:t>
      </w:r>
      <w:proofErr w:type="spellEnd"/>
      <w:r w:rsidRPr="009D0E4B">
        <w:rPr>
          <w:rStyle w:val="Strong"/>
          <w:rFonts w:ascii="Trebuchet MS" w:hAnsi="Trebuchet MS"/>
        </w:rPr>
        <w:t xml:space="preserve"> APIA</w:t>
      </w:r>
      <w:r w:rsidRPr="009D0E4B">
        <w:rPr>
          <w:rFonts w:ascii="Trebuchet MS" w:hAnsi="Trebuchet MS"/>
        </w:rPr>
        <w:t xml:space="preserve">, </w:t>
      </w:r>
      <w:proofErr w:type="spellStart"/>
      <w:r w:rsidRPr="009D0E4B">
        <w:rPr>
          <w:rFonts w:ascii="Trebuchet MS" w:hAnsi="Trebuchet MS"/>
        </w:rPr>
        <w:t>acestea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putând</w:t>
      </w:r>
      <w:proofErr w:type="spellEnd"/>
      <w:r w:rsidRPr="009D0E4B">
        <w:rPr>
          <w:rFonts w:ascii="Trebuchet MS" w:hAnsi="Trebuchet MS"/>
        </w:rPr>
        <w:t xml:space="preserve"> fi </w:t>
      </w:r>
      <w:proofErr w:type="spellStart"/>
      <w:r w:rsidRPr="009D0E4B">
        <w:rPr>
          <w:rFonts w:ascii="Trebuchet MS" w:hAnsi="Trebuchet MS"/>
        </w:rPr>
        <w:t>garantate</w:t>
      </w:r>
      <w:proofErr w:type="spellEnd"/>
      <w:r w:rsidRPr="009D0E4B">
        <w:rPr>
          <w:rFonts w:ascii="Trebuchet MS" w:hAnsi="Trebuchet MS"/>
        </w:rPr>
        <w:t xml:space="preserve"> de </w:t>
      </w:r>
      <w:proofErr w:type="spellStart"/>
      <w:r w:rsidRPr="009D0E4B">
        <w:rPr>
          <w:rStyle w:val="Strong"/>
          <w:rFonts w:ascii="Trebuchet MS" w:hAnsi="Trebuchet MS"/>
        </w:rPr>
        <w:t>Fondul</w:t>
      </w:r>
      <w:proofErr w:type="spellEnd"/>
      <w:r w:rsidRPr="009D0E4B">
        <w:rPr>
          <w:rStyle w:val="Strong"/>
          <w:rFonts w:ascii="Trebuchet MS" w:hAnsi="Trebuchet MS"/>
        </w:rPr>
        <w:t xml:space="preserve"> de </w:t>
      </w:r>
      <w:proofErr w:type="spellStart"/>
      <w:r w:rsidRPr="009D0E4B">
        <w:rPr>
          <w:rStyle w:val="Strong"/>
          <w:rFonts w:ascii="Trebuchet MS" w:hAnsi="Trebuchet MS"/>
        </w:rPr>
        <w:t>Garantare</w:t>
      </w:r>
      <w:proofErr w:type="spellEnd"/>
      <w:r w:rsidRPr="009D0E4B">
        <w:rPr>
          <w:rStyle w:val="Strong"/>
          <w:rFonts w:ascii="Trebuchet MS" w:hAnsi="Trebuchet MS"/>
        </w:rPr>
        <w:t xml:space="preserve"> a </w:t>
      </w:r>
      <w:proofErr w:type="spellStart"/>
      <w:r w:rsidRPr="009D0E4B">
        <w:rPr>
          <w:rStyle w:val="Strong"/>
          <w:rFonts w:ascii="Trebuchet MS" w:hAnsi="Trebuchet MS"/>
        </w:rPr>
        <w:t>Creditului</w:t>
      </w:r>
      <w:proofErr w:type="spellEnd"/>
      <w:r w:rsidRPr="009D0E4B">
        <w:rPr>
          <w:rStyle w:val="Strong"/>
          <w:rFonts w:ascii="Trebuchet MS" w:hAnsi="Trebuchet MS"/>
        </w:rPr>
        <w:t xml:space="preserve"> Rural (FGCR)</w:t>
      </w:r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și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Style w:val="Strong"/>
          <w:rFonts w:ascii="Trebuchet MS" w:hAnsi="Trebuchet MS"/>
        </w:rPr>
        <w:t>Fondul</w:t>
      </w:r>
      <w:proofErr w:type="spellEnd"/>
      <w:r w:rsidRPr="009D0E4B">
        <w:rPr>
          <w:rStyle w:val="Strong"/>
          <w:rFonts w:ascii="Trebuchet MS" w:hAnsi="Trebuchet MS"/>
        </w:rPr>
        <w:t xml:space="preserve"> </w:t>
      </w:r>
      <w:proofErr w:type="spellStart"/>
      <w:r w:rsidRPr="009D0E4B">
        <w:rPr>
          <w:rStyle w:val="Strong"/>
          <w:rFonts w:ascii="Trebuchet MS" w:hAnsi="Trebuchet MS"/>
        </w:rPr>
        <w:t>Național</w:t>
      </w:r>
      <w:proofErr w:type="spellEnd"/>
      <w:r w:rsidRPr="009D0E4B">
        <w:rPr>
          <w:rStyle w:val="Strong"/>
          <w:rFonts w:ascii="Trebuchet MS" w:hAnsi="Trebuchet MS"/>
        </w:rPr>
        <w:t xml:space="preserve"> de </w:t>
      </w:r>
      <w:proofErr w:type="spellStart"/>
      <w:r w:rsidRPr="009D0E4B">
        <w:rPr>
          <w:rStyle w:val="Strong"/>
          <w:rFonts w:ascii="Trebuchet MS" w:hAnsi="Trebuchet MS"/>
        </w:rPr>
        <w:t>Garantare</w:t>
      </w:r>
      <w:proofErr w:type="spellEnd"/>
      <w:r w:rsidRPr="009D0E4B">
        <w:rPr>
          <w:rStyle w:val="Strong"/>
          <w:rFonts w:ascii="Trebuchet MS" w:hAnsi="Trebuchet MS"/>
        </w:rPr>
        <w:t xml:space="preserve"> a </w:t>
      </w:r>
      <w:proofErr w:type="spellStart"/>
      <w:r w:rsidRPr="009D0E4B">
        <w:rPr>
          <w:rStyle w:val="Strong"/>
          <w:rFonts w:ascii="Trebuchet MS" w:hAnsi="Trebuchet MS"/>
        </w:rPr>
        <w:t>Creditelor</w:t>
      </w:r>
      <w:proofErr w:type="spellEnd"/>
      <w:r w:rsidRPr="009D0E4B">
        <w:rPr>
          <w:rStyle w:val="Strong"/>
          <w:rFonts w:ascii="Trebuchet MS" w:hAnsi="Trebuchet MS"/>
        </w:rPr>
        <w:t xml:space="preserve"> </w:t>
      </w:r>
      <w:proofErr w:type="spellStart"/>
      <w:r w:rsidRPr="009D0E4B">
        <w:rPr>
          <w:rStyle w:val="Strong"/>
          <w:rFonts w:ascii="Trebuchet MS" w:hAnsi="Trebuchet MS"/>
        </w:rPr>
        <w:t>pentru</w:t>
      </w:r>
      <w:proofErr w:type="spellEnd"/>
      <w:r w:rsidRPr="009D0E4B">
        <w:rPr>
          <w:rStyle w:val="Strong"/>
          <w:rFonts w:ascii="Trebuchet MS" w:hAnsi="Trebuchet MS"/>
        </w:rPr>
        <w:t xml:space="preserve"> </w:t>
      </w:r>
      <w:proofErr w:type="spellStart"/>
      <w:r w:rsidRPr="009D0E4B">
        <w:rPr>
          <w:rStyle w:val="Strong"/>
          <w:rFonts w:ascii="Trebuchet MS" w:hAnsi="Trebuchet MS"/>
        </w:rPr>
        <w:t>Întreprinderile</w:t>
      </w:r>
      <w:proofErr w:type="spellEnd"/>
      <w:r w:rsidRPr="009D0E4B">
        <w:rPr>
          <w:rStyle w:val="Strong"/>
          <w:rFonts w:ascii="Trebuchet MS" w:hAnsi="Trebuchet MS"/>
        </w:rPr>
        <w:t xml:space="preserve"> </w:t>
      </w:r>
      <w:proofErr w:type="spellStart"/>
      <w:r w:rsidRPr="009D0E4B">
        <w:rPr>
          <w:rStyle w:val="Strong"/>
          <w:rFonts w:ascii="Trebuchet MS" w:hAnsi="Trebuchet MS"/>
        </w:rPr>
        <w:t>Mici</w:t>
      </w:r>
      <w:proofErr w:type="spellEnd"/>
      <w:r w:rsidRPr="009D0E4B">
        <w:rPr>
          <w:rStyle w:val="Strong"/>
          <w:rFonts w:ascii="Trebuchet MS" w:hAnsi="Trebuchet MS"/>
        </w:rPr>
        <w:t xml:space="preserve"> </w:t>
      </w:r>
      <w:proofErr w:type="spellStart"/>
      <w:r w:rsidRPr="009D0E4B">
        <w:rPr>
          <w:rStyle w:val="Strong"/>
          <w:rFonts w:ascii="Trebuchet MS" w:hAnsi="Trebuchet MS"/>
        </w:rPr>
        <w:t>și</w:t>
      </w:r>
      <w:proofErr w:type="spellEnd"/>
      <w:r w:rsidRPr="009D0E4B">
        <w:rPr>
          <w:rStyle w:val="Strong"/>
          <w:rFonts w:ascii="Trebuchet MS" w:hAnsi="Trebuchet MS"/>
        </w:rPr>
        <w:t xml:space="preserve"> </w:t>
      </w:r>
      <w:proofErr w:type="spellStart"/>
      <w:r w:rsidRPr="009D0E4B">
        <w:rPr>
          <w:rStyle w:val="Strong"/>
          <w:rFonts w:ascii="Trebuchet MS" w:hAnsi="Trebuchet MS"/>
        </w:rPr>
        <w:t>Mijlocii</w:t>
      </w:r>
      <w:proofErr w:type="spellEnd"/>
      <w:r w:rsidRPr="009D0E4B">
        <w:rPr>
          <w:rStyle w:val="Strong"/>
          <w:rFonts w:ascii="Trebuchet MS" w:hAnsi="Trebuchet MS"/>
        </w:rPr>
        <w:t xml:space="preserve"> (FNGCIMM)</w:t>
      </w:r>
      <w:r w:rsidRPr="009D0E4B">
        <w:rPr>
          <w:rFonts w:ascii="Trebuchet MS" w:hAnsi="Trebuchet MS"/>
        </w:rPr>
        <w:t>.</w:t>
      </w:r>
    </w:p>
    <w:p w:rsidR="009D0E4B" w:rsidRPr="009D0E4B" w:rsidRDefault="009D0E4B" w:rsidP="00471FEE">
      <w:pPr>
        <w:pStyle w:val="NormalWeb"/>
        <w:spacing w:before="120" w:beforeAutospacing="0" w:after="0" w:afterAutospacing="0" w:line="276" w:lineRule="auto"/>
        <w:jc w:val="both"/>
        <w:rPr>
          <w:rFonts w:ascii="Trebuchet MS" w:hAnsi="Trebuchet MS"/>
        </w:rPr>
      </w:pPr>
      <w:proofErr w:type="spellStart"/>
      <w:r w:rsidRPr="009D0E4B">
        <w:rPr>
          <w:rFonts w:ascii="Trebuchet MS" w:hAnsi="Trebuchet MS"/>
        </w:rPr>
        <w:t>Pentru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simplificarea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procesului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administrativ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și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reducerea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timpului</w:t>
      </w:r>
      <w:proofErr w:type="spellEnd"/>
      <w:r w:rsidRPr="009D0E4B">
        <w:rPr>
          <w:rFonts w:ascii="Trebuchet MS" w:hAnsi="Trebuchet MS"/>
        </w:rPr>
        <w:t xml:space="preserve"> de </w:t>
      </w:r>
      <w:proofErr w:type="spellStart"/>
      <w:r w:rsidRPr="009D0E4B">
        <w:rPr>
          <w:rFonts w:ascii="Trebuchet MS" w:hAnsi="Trebuchet MS"/>
        </w:rPr>
        <w:t>așteptare</w:t>
      </w:r>
      <w:proofErr w:type="spellEnd"/>
      <w:r w:rsidRPr="009D0E4B">
        <w:rPr>
          <w:rFonts w:ascii="Trebuchet MS" w:hAnsi="Trebuchet MS"/>
        </w:rPr>
        <w:t xml:space="preserve">, </w:t>
      </w:r>
      <w:proofErr w:type="spellStart"/>
      <w:r w:rsidRPr="009D0E4B">
        <w:rPr>
          <w:rFonts w:ascii="Trebuchet MS" w:hAnsi="Trebuchet MS"/>
        </w:rPr>
        <w:t>fermierii</w:t>
      </w:r>
      <w:proofErr w:type="spellEnd"/>
      <w:r w:rsidRPr="009D0E4B">
        <w:rPr>
          <w:rFonts w:ascii="Trebuchet MS" w:hAnsi="Trebuchet MS"/>
        </w:rPr>
        <w:t xml:space="preserve"> pot </w:t>
      </w:r>
      <w:proofErr w:type="spellStart"/>
      <w:r w:rsidRPr="009D0E4B">
        <w:rPr>
          <w:rFonts w:ascii="Trebuchet MS" w:hAnsi="Trebuchet MS"/>
        </w:rPr>
        <w:t>solicita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adeverințele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și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prin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mijloace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electronice</w:t>
      </w:r>
      <w:proofErr w:type="spellEnd"/>
      <w:r w:rsidRPr="009D0E4B">
        <w:rPr>
          <w:rFonts w:ascii="Trebuchet MS" w:hAnsi="Trebuchet MS"/>
        </w:rPr>
        <w:t xml:space="preserve">, direct </w:t>
      </w:r>
      <w:proofErr w:type="spellStart"/>
      <w:r w:rsidRPr="009D0E4B">
        <w:rPr>
          <w:rFonts w:ascii="Trebuchet MS" w:hAnsi="Trebuchet MS"/>
        </w:rPr>
        <w:t>către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Centrele</w:t>
      </w:r>
      <w:proofErr w:type="spellEnd"/>
      <w:r w:rsidRPr="009D0E4B">
        <w:rPr>
          <w:rFonts w:ascii="Trebuchet MS" w:hAnsi="Trebuchet MS"/>
        </w:rPr>
        <w:t xml:space="preserve"> APIA.</w:t>
      </w:r>
    </w:p>
    <w:p w:rsidR="009D0E4B" w:rsidRPr="009D0E4B" w:rsidRDefault="009D0E4B" w:rsidP="00471FEE">
      <w:pPr>
        <w:pStyle w:val="NormalWeb"/>
        <w:spacing w:before="120" w:beforeAutospacing="0" w:after="0" w:afterAutospacing="0" w:line="276" w:lineRule="auto"/>
        <w:jc w:val="both"/>
        <w:rPr>
          <w:rFonts w:ascii="Trebuchet MS" w:hAnsi="Trebuchet MS"/>
        </w:rPr>
      </w:pPr>
      <w:proofErr w:type="spellStart"/>
      <w:r w:rsidRPr="009D0E4B">
        <w:rPr>
          <w:rFonts w:ascii="Trebuchet MS" w:hAnsi="Trebuchet MS"/>
        </w:rPr>
        <w:t>Convențiile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încheiate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între</w:t>
      </w:r>
      <w:proofErr w:type="spellEnd"/>
      <w:r w:rsidRPr="009D0E4B">
        <w:rPr>
          <w:rFonts w:ascii="Trebuchet MS" w:hAnsi="Trebuchet MS"/>
        </w:rPr>
        <w:t xml:space="preserve"> APIA, </w:t>
      </w:r>
      <w:proofErr w:type="spellStart"/>
      <w:r w:rsidRPr="009D0E4B">
        <w:rPr>
          <w:rFonts w:ascii="Trebuchet MS" w:hAnsi="Trebuchet MS"/>
        </w:rPr>
        <w:t>instituțiile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bancare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și</w:t>
      </w:r>
      <w:proofErr w:type="spellEnd"/>
      <w:r w:rsidRPr="009D0E4B">
        <w:rPr>
          <w:rFonts w:ascii="Trebuchet MS" w:hAnsi="Trebuchet MS"/>
        </w:rPr>
        <w:t xml:space="preserve"> </w:t>
      </w:r>
      <w:proofErr w:type="spellStart"/>
      <w:r w:rsidRPr="009D0E4B">
        <w:rPr>
          <w:rFonts w:ascii="Trebuchet MS" w:hAnsi="Trebuchet MS"/>
        </w:rPr>
        <w:t>nebancare</w:t>
      </w:r>
      <w:proofErr w:type="spellEnd"/>
      <w:r w:rsidRPr="009D0E4B">
        <w:rPr>
          <w:rFonts w:ascii="Trebuchet MS" w:hAnsi="Trebuchet MS"/>
        </w:rPr>
        <w:t xml:space="preserve">, precum </w:t>
      </w:r>
      <w:proofErr w:type="spellStart"/>
      <w:r w:rsidRPr="009D0E4B">
        <w:rPr>
          <w:rFonts w:ascii="Trebuchet MS" w:hAnsi="Trebuchet MS"/>
        </w:rPr>
        <w:t>și</w:t>
      </w:r>
      <w:proofErr w:type="spellEnd"/>
      <w:r w:rsidRPr="009D0E4B">
        <w:rPr>
          <w:rFonts w:ascii="Trebuchet MS" w:hAnsi="Trebuchet MS"/>
        </w:rPr>
        <w:t xml:space="preserve"> FGCR/FNGCIMM sunt </w:t>
      </w:r>
      <w:proofErr w:type="spellStart"/>
      <w:r w:rsidRPr="009D0E4B">
        <w:rPr>
          <w:rFonts w:ascii="Trebuchet MS" w:hAnsi="Trebuchet MS"/>
        </w:rPr>
        <w:t>disponibile</w:t>
      </w:r>
      <w:proofErr w:type="spellEnd"/>
      <w:r w:rsidRPr="009D0E4B">
        <w:rPr>
          <w:rFonts w:ascii="Trebuchet MS" w:hAnsi="Trebuchet MS"/>
        </w:rPr>
        <w:t xml:space="preserve"> pe site-ul APIA, la </w:t>
      </w:r>
      <w:proofErr w:type="spellStart"/>
      <w:r w:rsidRPr="009D0E4B">
        <w:rPr>
          <w:rFonts w:ascii="Trebuchet MS" w:hAnsi="Trebuchet MS"/>
        </w:rPr>
        <w:t>secțiunea</w:t>
      </w:r>
      <w:proofErr w:type="spellEnd"/>
      <w:r w:rsidRPr="009D0E4B">
        <w:rPr>
          <w:rFonts w:ascii="Trebuchet MS" w:hAnsi="Trebuchet MS"/>
        </w:rPr>
        <w:t xml:space="preserve"> </w:t>
      </w:r>
      <w:r w:rsidRPr="009D0E4B">
        <w:rPr>
          <w:rStyle w:val="Strong"/>
          <w:rFonts w:ascii="Trebuchet MS" w:hAnsi="Trebuchet MS"/>
          <w:b w:val="0"/>
        </w:rPr>
        <w:t>„</w:t>
      </w:r>
      <w:proofErr w:type="spellStart"/>
      <w:r w:rsidRPr="009D0E4B">
        <w:rPr>
          <w:rStyle w:val="Strong"/>
          <w:rFonts w:ascii="Trebuchet MS" w:hAnsi="Trebuchet MS"/>
          <w:b w:val="0"/>
        </w:rPr>
        <w:t>Convenții</w:t>
      </w:r>
      <w:proofErr w:type="spellEnd"/>
      <w:r w:rsidRPr="009D0E4B">
        <w:rPr>
          <w:rStyle w:val="Strong"/>
          <w:rFonts w:ascii="Trebuchet MS" w:hAnsi="Trebuchet MS"/>
          <w:b w:val="0"/>
        </w:rPr>
        <w:t xml:space="preserve">, </w:t>
      </w:r>
      <w:proofErr w:type="spellStart"/>
      <w:r w:rsidRPr="009D0E4B">
        <w:rPr>
          <w:rStyle w:val="Strong"/>
          <w:rFonts w:ascii="Trebuchet MS" w:hAnsi="Trebuchet MS"/>
          <w:b w:val="0"/>
        </w:rPr>
        <w:t>Acorduri</w:t>
      </w:r>
      <w:proofErr w:type="spellEnd"/>
      <w:r w:rsidRPr="009D0E4B">
        <w:rPr>
          <w:rStyle w:val="Strong"/>
          <w:rFonts w:ascii="Trebuchet MS" w:hAnsi="Trebuchet MS"/>
          <w:b w:val="0"/>
        </w:rPr>
        <w:t xml:space="preserve">, </w:t>
      </w:r>
      <w:proofErr w:type="spellStart"/>
      <w:r w:rsidRPr="009D0E4B">
        <w:rPr>
          <w:rStyle w:val="Strong"/>
          <w:rFonts w:ascii="Trebuchet MS" w:hAnsi="Trebuchet MS"/>
          <w:b w:val="0"/>
        </w:rPr>
        <w:t>Protocoale</w:t>
      </w:r>
      <w:proofErr w:type="spellEnd"/>
      <w:r w:rsidRPr="009D0E4B">
        <w:rPr>
          <w:rStyle w:val="Strong"/>
          <w:rFonts w:ascii="Trebuchet MS" w:hAnsi="Trebuchet MS"/>
          <w:b w:val="0"/>
        </w:rPr>
        <w:t>”</w:t>
      </w:r>
      <w:r w:rsidRPr="009D0E4B">
        <w:rPr>
          <w:rFonts w:ascii="Trebuchet MS" w:hAnsi="Trebuchet MS"/>
        </w:rPr>
        <w:t>.</w:t>
      </w:r>
    </w:p>
    <w:p w:rsidR="00471FEE" w:rsidRPr="00471FEE" w:rsidRDefault="00471FEE" w:rsidP="00471FEE">
      <w:pPr>
        <w:spacing w:before="120" w:after="0" w:line="240" w:lineRule="auto"/>
        <w:jc w:val="both"/>
        <w:rPr>
          <w:rFonts w:ascii="Trebuchet MS" w:hAnsi="Trebuchet MS"/>
          <w:sz w:val="24"/>
          <w:szCs w:val="24"/>
        </w:rPr>
      </w:pPr>
      <w:r w:rsidRPr="00471FEE">
        <w:rPr>
          <w:rStyle w:val="Emphasis"/>
          <w:rFonts w:ascii="Trebuchet MS" w:hAnsi="Trebuchet MS"/>
          <w:sz w:val="24"/>
          <w:szCs w:val="24"/>
        </w:rPr>
        <w:t>„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Reamintim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fermierilor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să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analizeze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cu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atenție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ofertele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de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finanțare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disponibile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,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inclusiv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costurile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și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comisioanele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aferente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,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pentru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gramStart"/>
      <w:r w:rsidRPr="00471FEE">
        <w:rPr>
          <w:rStyle w:val="Emphasis"/>
          <w:rFonts w:ascii="Trebuchet MS" w:hAnsi="Trebuchet MS"/>
          <w:sz w:val="24"/>
          <w:szCs w:val="24"/>
        </w:rPr>
        <w:t>a</w:t>
      </w:r>
      <w:proofErr w:type="gram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alege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varianta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cea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mai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potrivită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nevoilor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proprii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. APIA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rămâne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alături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de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fermieri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și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continuă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să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sprijine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accesul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acestora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la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finanțare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,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pentru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o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agricultură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stabilă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și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Emphasis"/>
          <w:rFonts w:ascii="Trebuchet MS" w:hAnsi="Trebuchet MS"/>
          <w:sz w:val="24"/>
          <w:szCs w:val="24"/>
        </w:rPr>
        <w:t>durabilă</w:t>
      </w:r>
      <w:proofErr w:type="spellEnd"/>
      <w:r w:rsidRPr="00471FEE">
        <w:rPr>
          <w:rStyle w:val="Emphasis"/>
          <w:rFonts w:ascii="Trebuchet MS" w:hAnsi="Trebuchet MS"/>
          <w:sz w:val="24"/>
          <w:szCs w:val="24"/>
        </w:rPr>
        <w:t>”</w:t>
      </w:r>
      <w:r w:rsidRPr="00471FEE">
        <w:rPr>
          <w:rFonts w:ascii="Trebuchet MS" w:hAnsi="Trebuchet MS"/>
          <w:sz w:val="24"/>
          <w:szCs w:val="24"/>
        </w:rPr>
        <w:t xml:space="preserve">, a </w:t>
      </w:r>
      <w:proofErr w:type="spellStart"/>
      <w:r w:rsidRPr="00471FEE">
        <w:rPr>
          <w:rFonts w:ascii="Trebuchet MS" w:hAnsi="Trebuchet MS"/>
          <w:sz w:val="24"/>
          <w:szCs w:val="24"/>
        </w:rPr>
        <w:t>declarat</w:t>
      </w:r>
      <w:proofErr w:type="spellEnd"/>
      <w:r w:rsidRPr="00471FE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71FEE">
        <w:rPr>
          <w:rStyle w:val="Strong"/>
          <w:rFonts w:ascii="Trebuchet MS" w:hAnsi="Trebuchet MS"/>
          <w:sz w:val="24"/>
          <w:szCs w:val="24"/>
        </w:rPr>
        <w:t>Directorul</w:t>
      </w:r>
      <w:proofErr w:type="spellEnd"/>
      <w:r w:rsidRPr="00471FEE">
        <w:rPr>
          <w:rStyle w:val="Strong"/>
          <w:rFonts w:ascii="Trebuchet MS" w:hAnsi="Trebuchet MS"/>
          <w:sz w:val="24"/>
          <w:szCs w:val="24"/>
        </w:rPr>
        <w:t xml:space="preserve"> General al APIA, Adrian PINTEA</w:t>
      </w:r>
      <w:r w:rsidRPr="00471FEE">
        <w:rPr>
          <w:rFonts w:ascii="Trebuchet MS" w:hAnsi="Trebuchet MS"/>
          <w:sz w:val="24"/>
          <w:szCs w:val="24"/>
        </w:rPr>
        <w:t>.</w:t>
      </w:r>
    </w:p>
    <w:p w:rsidR="007A05CF" w:rsidRPr="00E5436B" w:rsidRDefault="007A05CF" w:rsidP="00471FEE">
      <w:pPr>
        <w:spacing w:before="240" w:after="0" w:line="240" w:lineRule="auto"/>
        <w:jc w:val="both"/>
        <w:rPr>
          <w:rFonts w:ascii="Trebuchet MS" w:hAnsi="Trebuchet MS"/>
          <w:b/>
          <w:bCs/>
          <w:i/>
          <w:color w:val="002060"/>
          <w:sz w:val="24"/>
          <w:szCs w:val="24"/>
          <w:lang w:val="fr-FR"/>
        </w:rPr>
      </w:pPr>
      <w:r w:rsidRPr="00E5436B">
        <w:rPr>
          <w:rFonts w:ascii="Trebuchet MS" w:hAnsi="Trebuchet MS"/>
          <w:b/>
          <w:bCs/>
          <w:i/>
          <w:color w:val="000000"/>
          <w:sz w:val="24"/>
          <w:szCs w:val="24"/>
          <w:lang w:val="ro-RO"/>
        </w:rPr>
        <w:t xml:space="preserve">           </w:t>
      </w:r>
      <w:r w:rsidRPr="00E5436B">
        <w:rPr>
          <w:rFonts w:ascii="Trebuchet MS" w:hAnsi="Trebuchet MS"/>
          <w:b/>
          <w:bCs/>
          <w:i/>
          <w:color w:val="C00000"/>
          <w:sz w:val="24"/>
          <w:szCs w:val="24"/>
          <w:lang w:val="fr-FR"/>
        </w:rPr>
        <w:t>APIA</w:t>
      </w:r>
      <w:r w:rsidRPr="00E5436B">
        <w:rPr>
          <w:rFonts w:ascii="Trebuchet MS" w:hAnsi="Trebuchet MS"/>
          <w:b/>
          <w:bCs/>
          <w:i/>
          <w:iCs/>
          <w:color w:val="C00000"/>
          <w:sz w:val="24"/>
          <w:szCs w:val="24"/>
          <w:lang w:val="fr-FR"/>
        </w:rPr>
        <w:t xml:space="preserve"> </w:t>
      </w:r>
      <w:r w:rsidRPr="00E5436B">
        <w:rPr>
          <w:rFonts w:ascii="Trebuchet MS" w:hAnsi="Trebuchet MS"/>
          <w:b/>
          <w:bCs/>
          <w:i/>
          <w:color w:val="C00000"/>
          <w:sz w:val="24"/>
          <w:szCs w:val="24"/>
          <w:lang w:val="fr-FR"/>
        </w:rPr>
        <w:t xml:space="preserve">– </w:t>
      </w:r>
      <w:r w:rsidRPr="00E5436B">
        <w:rPr>
          <w:rFonts w:ascii="Trebuchet MS" w:hAnsi="Trebuchet MS"/>
          <w:b/>
          <w:bCs/>
          <w:i/>
          <w:color w:val="002060"/>
          <w:sz w:val="24"/>
          <w:szCs w:val="24"/>
          <w:lang w:val="fr-FR"/>
        </w:rPr>
        <w:t xml:space="preserve">CONTINUĂM </w:t>
      </w:r>
      <w:proofErr w:type="gramStart"/>
      <w:r w:rsidRPr="00E5436B">
        <w:rPr>
          <w:rFonts w:ascii="Trebuchet MS" w:hAnsi="Trebuchet MS"/>
          <w:b/>
          <w:bCs/>
          <w:i/>
          <w:color w:val="002060"/>
          <w:sz w:val="24"/>
          <w:szCs w:val="24"/>
          <w:lang w:val="fr-FR"/>
        </w:rPr>
        <w:t>ÎMPREUNĂ!</w:t>
      </w:r>
      <w:proofErr w:type="gramEnd"/>
    </w:p>
    <w:p w:rsidR="007E2A26" w:rsidRPr="009D0E4B" w:rsidRDefault="007A05CF" w:rsidP="00471FEE">
      <w:pPr>
        <w:shd w:val="clear" w:color="auto" w:fill="FFFFFF"/>
        <w:spacing w:before="240"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2704C3">
        <w:rPr>
          <w:rFonts w:ascii="Trebuchet MS" w:hAnsi="Trebuchet MS"/>
          <w:b/>
          <w:sz w:val="24"/>
          <w:szCs w:val="24"/>
          <w:lang w:val="ro-RO"/>
        </w:rPr>
        <w:t>SERVICIUL RELAŢII CU PUBLICUL ŞI COMUNICARE</w:t>
      </w:r>
    </w:p>
    <w:sectPr w:rsidR="007E2A26" w:rsidRPr="009D0E4B" w:rsidSect="00471FEE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21D49"/>
    <w:multiLevelType w:val="hybridMultilevel"/>
    <w:tmpl w:val="5100DD7A"/>
    <w:lvl w:ilvl="0" w:tplc="AD368560">
      <w:start w:val="29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60F7"/>
    <w:multiLevelType w:val="hybridMultilevel"/>
    <w:tmpl w:val="98E89F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A04E2"/>
    <w:multiLevelType w:val="hybridMultilevel"/>
    <w:tmpl w:val="17209F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E006F"/>
    <w:multiLevelType w:val="hybridMultilevel"/>
    <w:tmpl w:val="9036FE82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92C2F36"/>
    <w:multiLevelType w:val="hybridMultilevel"/>
    <w:tmpl w:val="C2FE1EA4"/>
    <w:lvl w:ilvl="0" w:tplc="D62866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503C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DA7F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0FB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482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8E89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A02F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1883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26D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E51DB"/>
    <w:multiLevelType w:val="hybridMultilevel"/>
    <w:tmpl w:val="78609F3A"/>
    <w:lvl w:ilvl="0" w:tplc="935467A4">
      <w:numFmt w:val="bullet"/>
      <w:lvlText w:val="-"/>
      <w:lvlJc w:val="left"/>
      <w:pPr>
        <w:ind w:left="660" w:hanging="360"/>
      </w:pPr>
      <w:rPr>
        <w:rFonts w:ascii="Trebuchet MS" w:eastAsiaTheme="minorHAnsi" w:hAnsi="Trebuchet MS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6D0B1E15"/>
    <w:multiLevelType w:val="hybridMultilevel"/>
    <w:tmpl w:val="A964D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58"/>
    <w:rsid w:val="000020CE"/>
    <w:rsid w:val="00004A18"/>
    <w:rsid w:val="0002504C"/>
    <w:rsid w:val="00025D83"/>
    <w:rsid w:val="0003013B"/>
    <w:rsid w:val="00036C41"/>
    <w:rsid w:val="000417D5"/>
    <w:rsid w:val="00051C7D"/>
    <w:rsid w:val="00052BCD"/>
    <w:rsid w:val="00055A18"/>
    <w:rsid w:val="0008467A"/>
    <w:rsid w:val="0009553A"/>
    <w:rsid w:val="00095603"/>
    <w:rsid w:val="00097A23"/>
    <w:rsid w:val="00097D0C"/>
    <w:rsid w:val="000B5750"/>
    <w:rsid w:val="000C57A3"/>
    <w:rsid w:val="000C6395"/>
    <w:rsid w:val="000C69CA"/>
    <w:rsid w:val="001014E3"/>
    <w:rsid w:val="0011416E"/>
    <w:rsid w:val="00125E45"/>
    <w:rsid w:val="00146B56"/>
    <w:rsid w:val="001541A8"/>
    <w:rsid w:val="0015634C"/>
    <w:rsid w:val="001576A3"/>
    <w:rsid w:val="00173571"/>
    <w:rsid w:val="001822E3"/>
    <w:rsid w:val="001A1B5C"/>
    <w:rsid w:val="001A5E6E"/>
    <w:rsid w:val="001B517D"/>
    <w:rsid w:val="002005EE"/>
    <w:rsid w:val="00227985"/>
    <w:rsid w:val="00236F58"/>
    <w:rsid w:val="00262C3B"/>
    <w:rsid w:val="00275DFB"/>
    <w:rsid w:val="002A3F8B"/>
    <w:rsid w:val="002B2A2A"/>
    <w:rsid w:val="002C383A"/>
    <w:rsid w:val="002E06C0"/>
    <w:rsid w:val="002E0908"/>
    <w:rsid w:val="002E5BDB"/>
    <w:rsid w:val="003020FA"/>
    <w:rsid w:val="00316A88"/>
    <w:rsid w:val="00320E51"/>
    <w:rsid w:val="003353E3"/>
    <w:rsid w:val="0038052D"/>
    <w:rsid w:val="00397B79"/>
    <w:rsid w:val="003B2E4A"/>
    <w:rsid w:val="003B3685"/>
    <w:rsid w:val="003C767C"/>
    <w:rsid w:val="003D4A8B"/>
    <w:rsid w:val="003F6D55"/>
    <w:rsid w:val="004060EC"/>
    <w:rsid w:val="0041514B"/>
    <w:rsid w:val="004332AD"/>
    <w:rsid w:val="00434C8E"/>
    <w:rsid w:val="00441A1B"/>
    <w:rsid w:val="004430CF"/>
    <w:rsid w:val="00445685"/>
    <w:rsid w:val="00460463"/>
    <w:rsid w:val="004636FE"/>
    <w:rsid w:val="00465BFC"/>
    <w:rsid w:val="00466BC1"/>
    <w:rsid w:val="00471FEE"/>
    <w:rsid w:val="00480FE2"/>
    <w:rsid w:val="004977F9"/>
    <w:rsid w:val="004A2E82"/>
    <w:rsid w:val="004B0B83"/>
    <w:rsid w:val="004D0F95"/>
    <w:rsid w:val="004D19D7"/>
    <w:rsid w:val="004D6226"/>
    <w:rsid w:val="00511E3D"/>
    <w:rsid w:val="00531594"/>
    <w:rsid w:val="00535EFD"/>
    <w:rsid w:val="00537A50"/>
    <w:rsid w:val="00545029"/>
    <w:rsid w:val="005513B9"/>
    <w:rsid w:val="0056044A"/>
    <w:rsid w:val="005644B6"/>
    <w:rsid w:val="00577425"/>
    <w:rsid w:val="00595323"/>
    <w:rsid w:val="00595F27"/>
    <w:rsid w:val="005C5902"/>
    <w:rsid w:val="005F7D64"/>
    <w:rsid w:val="0067315D"/>
    <w:rsid w:val="0067575F"/>
    <w:rsid w:val="006773DE"/>
    <w:rsid w:val="0067755F"/>
    <w:rsid w:val="00685AA2"/>
    <w:rsid w:val="0069672E"/>
    <w:rsid w:val="006A66CC"/>
    <w:rsid w:val="006B1845"/>
    <w:rsid w:val="006B6795"/>
    <w:rsid w:val="006C296B"/>
    <w:rsid w:val="006E0386"/>
    <w:rsid w:val="006E1C0C"/>
    <w:rsid w:val="006E4A7C"/>
    <w:rsid w:val="007115F3"/>
    <w:rsid w:val="00712827"/>
    <w:rsid w:val="00717B44"/>
    <w:rsid w:val="00763CDD"/>
    <w:rsid w:val="00770CD9"/>
    <w:rsid w:val="00781F4F"/>
    <w:rsid w:val="00792EB5"/>
    <w:rsid w:val="00793895"/>
    <w:rsid w:val="00794BDB"/>
    <w:rsid w:val="007A05CF"/>
    <w:rsid w:val="007B3E17"/>
    <w:rsid w:val="007B72CD"/>
    <w:rsid w:val="007E0D8B"/>
    <w:rsid w:val="007E2A26"/>
    <w:rsid w:val="007E41DF"/>
    <w:rsid w:val="007F11C8"/>
    <w:rsid w:val="008258A0"/>
    <w:rsid w:val="00841D69"/>
    <w:rsid w:val="008516C9"/>
    <w:rsid w:val="008A73FD"/>
    <w:rsid w:val="008B25B3"/>
    <w:rsid w:val="008D261E"/>
    <w:rsid w:val="00917250"/>
    <w:rsid w:val="00920A75"/>
    <w:rsid w:val="0093618A"/>
    <w:rsid w:val="009474F6"/>
    <w:rsid w:val="0098152F"/>
    <w:rsid w:val="0099670B"/>
    <w:rsid w:val="009B04C9"/>
    <w:rsid w:val="009B5F1D"/>
    <w:rsid w:val="009B7998"/>
    <w:rsid w:val="009D0E4B"/>
    <w:rsid w:val="009D2EC6"/>
    <w:rsid w:val="009F05AD"/>
    <w:rsid w:val="009F13E6"/>
    <w:rsid w:val="00A079BF"/>
    <w:rsid w:val="00A13ECB"/>
    <w:rsid w:val="00A20E7B"/>
    <w:rsid w:val="00A2448F"/>
    <w:rsid w:val="00A5162B"/>
    <w:rsid w:val="00A625AC"/>
    <w:rsid w:val="00A65FDB"/>
    <w:rsid w:val="00A67A53"/>
    <w:rsid w:val="00A867A5"/>
    <w:rsid w:val="00A96C51"/>
    <w:rsid w:val="00AA2120"/>
    <w:rsid w:val="00AA32E4"/>
    <w:rsid w:val="00AA4C1C"/>
    <w:rsid w:val="00AB41A7"/>
    <w:rsid w:val="00AC4AB3"/>
    <w:rsid w:val="00AC54B1"/>
    <w:rsid w:val="00AD30FA"/>
    <w:rsid w:val="00AF6250"/>
    <w:rsid w:val="00B03D0C"/>
    <w:rsid w:val="00B03F26"/>
    <w:rsid w:val="00B16EAA"/>
    <w:rsid w:val="00B20E2A"/>
    <w:rsid w:val="00B33181"/>
    <w:rsid w:val="00B75BA0"/>
    <w:rsid w:val="00B95BF8"/>
    <w:rsid w:val="00B973B1"/>
    <w:rsid w:val="00B97FC3"/>
    <w:rsid w:val="00BA3851"/>
    <w:rsid w:val="00BA7344"/>
    <w:rsid w:val="00BC3C81"/>
    <w:rsid w:val="00BD6D6C"/>
    <w:rsid w:val="00BF6B9D"/>
    <w:rsid w:val="00C1713F"/>
    <w:rsid w:val="00C752FD"/>
    <w:rsid w:val="00C77BDE"/>
    <w:rsid w:val="00C923C8"/>
    <w:rsid w:val="00CA2387"/>
    <w:rsid w:val="00CB6AC5"/>
    <w:rsid w:val="00CC3358"/>
    <w:rsid w:val="00CC4655"/>
    <w:rsid w:val="00CC6012"/>
    <w:rsid w:val="00CE09B4"/>
    <w:rsid w:val="00CE0E02"/>
    <w:rsid w:val="00D05C36"/>
    <w:rsid w:val="00D13E44"/>
    <w:rsid w:val="00D14855"/>
    <w:rsid w:val="00D14E5D"/>
    <w:rsid w:val="00D33FEE"/>
    <w:rsid w:val="00D349AF"/>
    <w:rsid w:val="00D609B9"/>
    <w:rsid w:val="00DC1234"/>
    <w:rsid w:val="00DC2DB1"/>
    <w:rsid w:val="00DD72E1"/>
    <w:rsid w:val="00E02E79"/>
    <w:rsid w:val="00E041E6"/>
    <w:rsid w:val="00E131EC"/>
    <w:rsid w:val="00E41714"/>
    <w:rsid w:val="00E4618E"/>
    <w:rsid w:val="00E6454B"/>
    <w:rsid w:val="00E64A6A"/>
    <w:rsid w:val="00E70C24"/>
    <w:rsid w:val="00EA1AC2"/>
    <w:rsid w:val="00EA6819"/>
    <w:rsid w:val="00EC61D9"/>
    <w:rsid w:val="00EE0A07"/>
    <w:rsid w:val="00EF1262"/>
    <w:rsid w:val="00F1081C"/>
    <w:rsid w:val="00F10F4F"/>
    <w:rsid w:val="00F24D5B"/>
    <w:rsid w:val="00F26FDF"/>
    <w:rsid w:val="00F2765E"/>
    <w:rsid w:val="00F33E15"/>
    <w:rsid w:val="00F35BFB"/>
    <w:rsid w:val="00F363DB"/>
    <w:rsid w:val="00F66EE6"/>
    <w:rsid w:val="00F7546E"/>
    <w:rsid w:val="00F8285B"/>
    <w:rsid w:val="00F93298"/>
    <w:rsid w:val="00F966EB"/>
    <w:rsid w:val="00FD4D58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6674"/>
  <w15:docId w15:val="{5FF20B53-19CA-4813-84C5-5821C0A0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4C9"/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BD6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l1">
    <w:name w:val="tal1"/>
    <w:basedOn w:val="DefaultParagraphFont"/>
    <w:rsid w:val="009B04C9"/>
  </w:style>
  <w:style w:type="character" w:customStyle="1" w:styleId="rvts7">
    <w:name w:val="rvts7"/>
    <w:basedOn w:val="DefaultParagraphFont"/>
    <w:rsid w:val="00595F27"/>
  </w:style>
  <w:style w:type="paragraph" w:styleId="BalloonText">
    <w:name w:val="Balloon Text"/>
    <w:basedOn w:val="Normal"/>
    <w:link w:val="BalloonTextChar"/>
    <w:uiPriority w:val="99"/>
    <w:semiHidden/>
    <w:unhideWhenUsed/>
    <w:rsid w:val="00595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F2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D6D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35BFB"/>
    <w:pPr>
      <w:spacing w:after="0" w:line="240" w:lineRule="auto"/>
    </w:pPr>
    <w:rPr>
      <w:rFonts w:ascii="Consolas" w:eastAsiaTheme="minorEastAsia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5BFB"/>
    <w:rPr>
      <w:rFonts w:ascii="Consolas" w:eastAsiaTheme="minorEastAsia" w:hAnsi="Consolas"/>
      <w:sz w:val="21"/>
      <w:szCs w:val="21"/>
    </w:rPr>
  </w:style>
  <w:style w:type="paragraph" w:customStyle="1" w:styleId="Default">
    <w:name w:val="Default"/>
    <w:basedOn w:val="Normal"/>
    <w:rsid w:val="00B16EAA"/>
    <w:pPr>
      <w:autoSpaceDE w:val="0"/>
      <w:autoSpaceDN w:val="0"/>
      <w:spacing w:after="0" w:line="240" w:lineRule="auto"/>
    </w:pPr>
    <w:rPr>
      <w:rFonts w:ascii="EUAlbertina" w:hAnsi="EUAlbertina"/>
      <w:color w:val="000000"/>
      <w:sz w:val="24"/>
      <w:szCs w:val="24"/>
    </w:rPr>
  </w:style>
  <w:style w:type="character" w:styleId="Emphasis">
    <w:name w:val="Emphasis"/>
    <w:uiPriority w:val="20"/>
    <w:qFormat/>
    <w:rsid w:val="0008467A"/>
    <w:rPr>
      <w:i/>
      <w:iCs/>
    </w:rPr>
  </w:style>
  <w:style w:type="character" w:styleId="Strong">
    <w:name w:val="Strong"/>
    <w:uiPriority w:val="22"/>
    <w:qFormat/>
    <w:rsid w:val="0008467A"/>
    <w:rPr>
      <w:b/>
      <w:bCs/>
    </w:rPr>
  </w:style>
  <w:style w:type="table" w:styleId="TableGrid">
    <w:name w:val="Table Grid"/>
    <w:basedOn w:val="TableNormal"/>
    <w:uiPriority w:val="39"/>
    <w:rsid w:val="0008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8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841D69"/>
    <w:rPr>
      <w:color w:val="0000FF" w:themeColor="hyperlink"/>
      <w:u w:val="single"/>
    </w:rPr>
  </w:style>
  <w:style w:type="character" w:customStyle="1" w:styleId="rvts10">
    <w:name w:val="rvts10"/>
    <w:basedOn w:val="DefaultParagraphFont"/>
    <w:uiPriority w:val="99"/>
    <w:rsid w:val="00841D69"/>
  </w:style>
  <w:style w:type="paragraph" w:styleId="Revision">
    <w:name w:val="Revision"/>
    <w:hidden/>
    <w:uiPriority w:val="99"/>
    <w:semiHidden/>
    <w:rsid w:val="007E2A26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5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A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A2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413B8-1E0E-4F8D-8AF3-D0B3917A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Nicoleta</dc:creator>
  <cp:lastModifiedBy>Gina Prodan</cp:lastModifiedBy>
  <cp:revision>4</cp:revision>
  <cp:lastPrinted>2026-05-22T09:42:00Z</cp:lastPrinted>
  <dcterms:created xsi:type="dcterms:W3CDTF">2026-05-22T09:23:00Z</dcterms:created>
  <dcterms:modified xsi:type="dcterms:W3CDTF">2026-05-22T09:42:00Z</dcterms:modified>
</cp:coreProperties>
</file>